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18D2" w14:textId="334545DC" w:rsidR="00A241CF" w:rsidRPr="00DE6202" w:rsidRDefault="00392594">
      <w:pPr>
        <w:pStyle w:val="Heading2"/>
        <w:rPr>
          <w:color w:val="auto"/>
        </w:rPr>
      </w:pPr>
      <w:r w:rsidRPr="00DE6202">
        <w:rPr>
          <w:rFonts w:ascii="Century Gothic" w:hAnsi="Century Gothic"/>
          <w:color w:val="auto"/>
        </w:rPr>
        <w:t>Rail</w:t>
      </w:r>
      <w:r w:rsidRPr="00DE6202">
        <w:rPr>
          <w:color w:val="auto"/>
        </w:rPr>
        <w:t xml:space="preserve"> </w:t>
      </w:r>
      <w:r w:rsidRPr="00DE6202">
        <w:rPr>
          <w:rFonts w:ascii="Century Gothic" w:hAnsi="Century Gothic"/>
          <w:color w:val="auto"/>
        </w:rPr>
        <w:t>Safety</w:t>
      </w:r>
      <w:r w:rsidRPr="00DE6202">
        <w:rPr>
          <w:color w:val="auto"/>
        </w:rPr>
        <w:t xml:space="preserve"> </w:t>
      </w:r>
      <w:r w:rsidRPr="00DE6202">
        <w:rPr>
          <w:rFonts w:ascii="Century Gothic" w:hAnsi="Century Gothic"/>
          <w:color w:val="auto"/>
        </w:rPr>
        <w:t>Program</w:t>
      </w:r>
      <w:r w:rsidRPr="00DE6202">
        <w:rPr>
          <w:color w:val="auto"/>
        </w:rPr>
        <w:t xml:space="preserve"> </w:t>
      </w:r>
      <w:r w:rsidRPr="00DE6202">
        <w:rPr>
          <w:rFonts w:ascii="Century Gothic" w:hAnsi="Century Gothic"/>
          <w:color w:val="auto"/>
        </w:rPr>
        <w:t>Survey:</w:t>
      </w:r>
      <w:r w:rsidRPr="00DE6202">
        <w:rPr>
          <w:color w:val="auto"/>
        </w:rPr>
        <w:t xml:space="preserve"> </w:t>
      </w:r>
      <w:r w:rsidRPr="00DE6202">
        <w:rPr>
          <w:rFonts w:ascii="Century Gothic" w:hAnsi="Century Gothic"/>
          <w:color w:val="auto"/>
        </w:rPr>
        <w:t>Grades 3</w:t>
      </w:r>
      <w:r w:rsidRPr="00DE6202">
        <w:rPr>
          <w:color w:val="auto"/>
        </w:rPr>
        <w:t>-</w:t>
      </w:r>
      <w:r w:rsidRPr="00DE6202">
        <w:rPr>
          <w:rFonts w:ascii="Century Gothic" w:hAnsi="Century Gothic"/>
          <w:color w:val="auto"/>
        </w:rPr>
        <w:t>5</w:t>
      </w:r>
      <w:r w:rsidR="004B6556" w:rsidRPr="00DE6202">
        <w:rPr>
          <w:color w:val="auto"/>
        </w:rPr>
        <w:t xml:space="preserve">                                            </w:t>
      </w:r>
      <w:r w:rsidRPr="00DE6202">
        <w:rPr>
          <w:color w:val="auto"/>
        </w:rPr>
        <w:t xml:space="preserve"> </w:t>
      </w:r>
      <w:bookmarkStart w:id="0" w:name="_gjdgxs" w:colFirst="0" w:colLast="0"/>
      <w:bookmarkEnd w:id="0"/>
      <w:r w:rsidR="007E531C" w:rsidRPr="00DE6202">
        <w:rPr>
          <w:noProof/>
          <w:color w:val="auto"/>
        </w:rPr>
        <w:drawing>
          <wp:inline distT="0" distB="0" distL="0" distR="0" wp14:anchorId="61EC3979" wp14:editId="64CE55A1">
            <wp:extent cx="937071" cy="1095546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R2S_AlaCTC_20190826 (2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09" cy="111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BDE8A" w14:textId="77777777" w:rsidR="0002152E" w:rsidRDefault="0002152E">
      <w:pPr>
        <w:spacing w:after="0"/>
        <w:rPr>
          <w:sz w:val="24"/>
          <w:szCs w:val="24"/>
        </w:rPr>
      </w:pPr>
      <w:bookmarkStart w:id="1" w:name="_30j0zll" w:colFirst="0" w:colLast="0"/>
      <w:bookmarkEnd w:id="1"/>
    </w:p>
    <w:p w14:paraId="33FFFB98" w14:textId="4A72038F" w:rsidR="00A241CF" w:rsidRPr="00D86EDF" w:rsidRDefault="00392594">
      <w:pPr>
        <w:spacing w:after="0"/>
        <w:rPr>
          <w:rFonts w:ascii="Century Gothic" w:hAnsi="Century Gothic"/>
          <w:sz w:val="24"/>
          <w:szCs w:val="24"/>
        </w:rPr>
      </w:pPr>
      <w:r w:rsidRPr="00D86EDF">
        <w:rPr>
          <w:rFonts w:ascii="Century Gothic" w:hAnsi="Century Gothic"/>
          <w:sz w:val="24"/>
          <w:szCs w:val="24"/>
        </w:rPr>
        <w:t xml:space="preserve">After </w:t>
      </w:r>
      <w:r w:rsidR="00301042" w:rsidRPr="00D86EDF">
        <w:rPr>
          <w:rFonts w:ascii="Century Gothic" w:hAnsi="Century Gothic"/>
          <w:sz w:val="24"/>
          <w:szCs w:val="24"/>
        </w:rPr>
        <w:t>viewing the</w:t>
      </w:r>
      <w:r w:rsidRPr="00D86EDF">
        <w:rPr>
          <w:rFonts w:ascii="Century Gothic" w:hAnsi="Century Gothic"/>
          <w:sz w:val="24"/>
          <w:szCs w:val="24"/>
        </w:rPr>
        <w:t xml:space="preserve"> </w:t>
      </w:r>
      <w:hyperlink r:id="rId8" w:history="1">
        <w:r w:rsidRPr="006023C6">
          <w:rPr>
            <w:rStyle w:val="Hyperlink"/>
            <w:rFonts w:ascii="Century Gothic" w:hAnsi="Century Gothic"/>
            <w:sz w:val="24"/>
            <w:szCs w:val="24"/>
          </w:rPr>
          <w:t>rail safety presentation</w:t>
        </w:r>
      </w:hyperlink>
      <w:r w:rsidR="00DE6202">
        <w:rPr>
          <w:rFonts w:ascii="Century Gothic" w:hAnsi="Century Gothic"/>
          <w:sz w:val="24"/>
          <w:szCs w:val="24"/>
        </w:rPr>
        <w:t>,</w:t>
      </w:r>
      <w:r w:rsidR="0002152E" w:rsidRPr="00D86EDF">
        <w:rPr>
          <w:rFonts w:ascii="Century Gothic" w:hAnsi="Century Gothic"/>
          <w:sz w:val="24"/>
          <w:szCs w:val="24"/>
        </w:rPr>
        <w:t xml:space="preserve"> please answer </w:t>
      </w:r>
      <w:r w:rsidR="00DE6202">
        <w:rPr>
          <w:rFonts w:ascii="Century Gothic" w:hAnsi="Century Gothic"/>
          <w:sz w:val="24"/>
          <w:szCs w:val="24"/>
        </w:rPr>
        <w:t>“</w:t>
      </w:r>
      <w:r w:rsidR="0002152E" w:rsidRPr="00D86EDF">
        <w:rPr>
          <w:rFonts w:ascii="Century Gothic" w:hAnsi="Century Gothic"/>
          <w:sz w:val="24"/>
          <w:szCs w:val="24"/>
        </w:rPr>
        <w:t>yes</w:t>
      </w:r>
      <w:r w:rsidR="00DE6202">
        <w:rPr>
          <w:rFonts w:ascii="Century Gothic" w:hAnsi="Century Gothic"/>
          <w:sz w:val="24"/>
          <w:szCs w:val="24"/>
        </w:rPr>
        <w:t>”</w:t>
      </w:r>
      <w:r w:rsidR="0002152E" w:rsidRPr="00D86EDF">
        <w:rPr>
          <w:rFonts w:ascii="Century Gothic" w:hAnsi="Century Gothic"/>
          <w:sz w:val="24"/>
          <w:szCs w:val="24"/>
        </w:rPr>
        <w:t xml:space="preserve"> or </w:t>
      </w:r>
      <w:r w:rsidR="00DE6202">
        <w:rPr>
          <w:rFonts w:ascii="Century Gothic" w:hAnsi="Century Gothic"/>
          <w:sz w:val="24"/>
          <w:szCs w:val="24"/>
        </w:rPr>
        <w:t>“</w:t>
      </w:r>
      <w:r w:rsidR="0002152E" w:rsidRPr="00D86EDF">
        <w:rPr>
          <w:rFonts w:ascii="Century Gothic" w:hAnsi="Century Gothic"/>
          <w:sz w:val="24"/>
          <w:szCs w:val="24"/>
        </w:rPr>
        <w:t>no</w:t>
      </w:r>
      <w:r w:rsidR="00DE6202">
        <w:rPr>
          <w:rFonts w:ascii="Century Gothic" w:hAnsi="Century Gothic"/>
          <w:sz w:val="24"/>
          <w:szCs w:val="24"/>
        </w:rPr>
        <w:t>”</w:t>
      </w:r>
      <w:r w:rsidR="0002152E" w:rsidRPr="00D86EDF">
        <w:rPr>
          <w:rFonts w:ascii="Century Gothic" w:hAnsi="Century Gothic"/>
          <w:sz w:val="24"/>
          <w:szCs w:val="24"/>
        </w:rPr>
        <w:t xml:space="preserve"> to</w:t>
      </w:r>
      <w:r w:rsidRPr="00D86EDF">
        <w:rPr>
          <w:rFonts w:ascii="Century Gothic" w:hAnsi="Century Gothic"/>
        </w:rPr>
        <w:t xml:space="preserve"> the following statements</w:t>
      </w:r>
      <w:r w:rsidR="0002152E" w:rsidRPr="00D86EDF">
        <w:rPr>
          <w:rFonts w:ascii="Century Gothic" w:hAnsi="Century Gothic"/>
        </w:rPr>
        <w:t>.</w:t>
      </w:r>
      <w:r w:rsidRPr="00D86EDF">
        <w:rPr>
          <w:rFonts w:ascii="Century Gothic" w:hAnsi="Century Gothic"/>
        </w:rPr>
        <w:t xml:space="preserve"> </w:t>
      </w:r>
      <w:r w:rsidR="0002152E" w:rsidRPr="00D86EDF">
        <w:rPr>
          <w:rFonts w:ascii="Century Gothic" w:hAnsi="Century Gothic"/>
        </w:rPr>
        <w:t>Please send this from back to your teacher when</w:t>
      </w:r>
      <w:r w:rsidR="00DE6202">
        <w:rPr>
          <w:rFonts w:ascii="Century Gothic" w:hAnsi="Century Gothic"/>
        </w:rPr>
        <w:t xml:space="preserve"> you finish</w:t>
      </w:r>
      <w:r w:rsidR="0002152E" w:rsidRPr="00D86EDF">
        <w:rPr>
          <w:rFonts w:ascii="Century Gothic" w:hAnsi="Century Gothic"/>
        </w:rPr>
        <w:t>!</w:t>
      </w:r>
    </w:p>
    <w:p w14:paraId="7E63BEBF" w14:textId="77777777" w:rsidR="00A241CF" w:rsidRDefault="00A241CF">
      <w:pPr>
        <w:spacing w:after="0"/>
        <w:rPr>
          <w:sz w:val="24"/>
          <w:szCs w:val="24"/>
        </w:rPr>
      </w:pPr>
    </w:p>
    <w:p w14:paraId="53999EFF" w14:textId="60DC7EF4" w:rsidR="00A241CF" w:rsidRPr="00D86EDF" w:rsidRDefault="00392594">
      <w:pPr>
        <w:spacing w:after="0"/>
        <w:rPr>
          <w:rFonts w:ascii="Century Gothic" w:hAnsi="Century Gothic"/>
        </w:rPr>
      </w:pPr>
      <w:r w:rsidRPr="00D86EDF">
        <w:rPr>
          <w:rFonts w:ascii="Century Gothic" w:hAnsi="Century Gothic"/>
        </w:rPr>
        <w:t>Name</w:t>
      </w:r>
      <w:r w:rsidR="0002152E" w:rsidRPr="00D86EDF">
        <w:rPr>
          <w:rFonts w:ascii="Century Gothic" w:hAnsi="Century Gothic"/>
        </w:rPr>
        <w:t>: ______________________________________</w:t>
      </w:r>
      <w:r w:rsidRPr="00D86EDF">
        <w:rPr>
          <w:rFonts w:ascii="Century Gothic" w:hAnsi="Century Gothic"/>
        </w:rPr>
        <w:br/>
      </w:r>
      <w:r w:rsidRPr="00D86EDF">
        <w:rPr>
          <w:rFonts w:ascii="Century Gothic" w:hAnsi="Century Gothic"/>
        </w:rPr>
        <w:br/>
        <w:t xml:space="preserve">Date: ________________ </w:t>
      </w:r>
    </w:p>
    <w:p w14:paraId="47756EFC" w14:textId="77777777" w:rsidR="00A241CF" w:rsidRDefault="00A241CF">
      <w:pPr>
        <w:spacing w:after="0"/>
        <w:rPr>
          <w:sz w:val="24"/>
          <w:szCs w:val="24"/>
        </w:rPr>
      </w:pPr>
    </w:p>
    <w:p w14:paraId="5D0B4798" w14:textId="77777777" w:rsidR="00A241CF" w:rsidRDefault="00A241CF">
      <w:bookmarkStart w:id="2" w:name="_1fob9te" w:colFirst="0" w:colLast="0"/>
      <w:bookmarkEnd w:id="2"/>
    </w:p>
    <w:tbl>
      <w:tblPr>
        <w:tblStyle w:val="a"/>
        <w:tblW w:w="102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635"/>
        <w:gridCol w:w="810"/>
        <w:gridCol w:w="777"/>
      </w:tblGrid>
      <w:tr w:rsidR="00A241CF" w14:paraId="4B21FAEB" w14:textId="77777777" w:rsidTr="00A24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14C687C9" w14:textId="58698F28" w:rsidR="00A241CF" w:rsidRPr="00D86EDF" w:rsidRDefault="00392594">
            <w:pPr>
              <w:spacing w:before="200"/>
              <w:rPr>
                <w:rFonts w:ascii="Century Gothic" w:hAnsi="Century Gothic"/>
                <w:smallCaps/>
              </w:rPr>
            </w:pPr>
            <w:r>
              <w:br/>
            </w:r>
            <w:r w:rsidR="0002152E" w:rsidRPr="00D86EDF">
              <w:rPr>
                <w:rFonts w:ascii="Century Gothic" w:hAnsi="Century Gothic"/>
              </w:rPr>
              <w:t xml:space="preserve">Please mark </w:t>
            </w:r>
            <w:r w:rsidR="00DE6202">
              <w:rPr>
                <w:rFonts w:ascii="Century Gothic" w:hAnsi="Century Gothic"/>
              </w:rPr>
              <w:t xml:space="preserve">either “Yes” or “No” for </w:t>
            </w:r>
            <w:r w:rsidR="0002152E" w:rsidRPr="00D86EDF">
              <w:rPr>
                <w:rFonts w:ascii="Century Gothic" w:hAnsi="Century Gothic"/>
              </w:rPr>
              <w:t>each question</w:t>
            </w:r>
          </w:p>
        </w:tc>
        <w:tc>
          <w:tcPr>
            <w:tcW w:w="810" w:type="dxa"/>
          </w:tcPr>
          <w:p w14:paraId="1F53DD46" w14:textId="52DE14E1" w:rsidR="00A241CF" w:rsidRPr="00D86EDF" w:rsidRDefault="00DC7290">
            <w:pPr>
              <w:spacing w:before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86EDF">
              <w:rPr>
                <w:rFonts w:ascii="Century Gothic" w:hAnsi="Century Gothic"/>
              </w:rPr>
              <w:t>Yes</w:t>
            </w:r>
          </w:p>
        </w:tc>
        <w:tc>
          <w:tcPr>
            <w:tcW w:w="777" w:type="dxa"/>
          </w:tcPr>
          <w:p w14:paraId="6F5C8332" w14:textId="768D35C4" w:rsidR="00A241CF" w:rsidRPr="00D86EDF" w:rsidRDefault="00DC7290">
            <w:pPr>
              <w:spacing w:before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86EDF">
              <w:rPr>
                <w:rFonts w:ascii="Century Gothic" w:hAnsi="Century Gothic"/>
              </w:rPr>
              <w:t>No</w:t>
            </w:r>
          </w:p>
        </w:tc>
      </w:tr>
      <w:tr w:rsidR="00A241CF" w14:paraId="3B55F955" w14:textId="77777777" w:rsidTr="00A2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71A3D69F" w14:textId="011A7B00" w:rsidR="00A241CF" w:rsidRPr="00D86EDF" w:rsidRDefault="00DC72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Will y</w:t>
            </w:r>
            <w:r w:rsidR="00392594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 xml:space="preserve">ou </w:t>
            </w:r>
            <w:r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always</w:t>
            </w:r>
            <w:r w:rsidR="00A45BEB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 xml:space="preserve"> </w:t>
            </w:r>
            <w:r w:rsidR="00392594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 xml:space="preserve">hear a train </w:t>
            </w:r>
            <w:r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approaching?</w:t>
            </w:r>
          </w:p>
        </w:tc>
        <w:tc>
          <w:tcPr>
            <w:tcW w:w="810" w:type="dxa"/>
          </w:tcPr>
          <w:p w14:paraId="356D7604" w14:textId="77777777" w:rsidR="00A241CF" w:rsidRDefault="00A241CF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dxa"/>
          </w:tcPr>
          <w:p w14:paraId="435552CA" w14:textId="2254A9D9" w:rsidR="00A241CF" w:rsidRDefault="00A241CF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241CF" w14:paraId="4F028591" w14:textId="77777777" w:rsidTr="00A241C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6C4B0592" w14:textId="0518AB5C" w:rsidR="00A241CF" w:rsidRPr="00D86EDF" w:rsidRDefault="00DC72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Can it</w:t>
            </w:r>
            <w:r w:rsidR="00392594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 xml:space="preserve"> take a train a mile or more to come to a full </w:t>
            </w:r>
            <w:r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stop?</w:t>
            </w:r>
          </w:p>
        </w:tc>
        <w:tc>
          <w:tcPr>
            <w:tcW w:w="810" w:type="dxa"/>
          </w:tcPr>
          <w:p w14:paraId="1521AE20" w14:textId="2504B73C" w:rsidR="00A241CF" w:rsidRDefault="00A241CF">
            <w:pPr>
              <w:spacing w:befor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dxa"/>
          </w:tcPr>
          <w:p w14:paraId="4821AD4F" w14:textId="77777777" w:rsidR="00A241CF" w:rsidRDefault="00A241CF">
            <w:pPr>
              <w:spacing w:befor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241CF" w14:paraId="2DB087CE" w14:textId="77777777" w:rsidTr="00A2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2ECAEBA9" w14:textId="5ECFA1E5" w:rsidR="00A241CF" w:rsidRPr="00D86EDF" w:rsidRDefault="00DC72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86EDF">
              <w:rPr>
                <w:rFonts w:ascii="Century Gothic" w:hAnsi="Century Gothic"/>
                <w:b w:val="0"/>
                <w:sz w:val="18"/>
                <w:szCs w:val="18"/>
              </w:rPr>
              <w:t xml:space="preserve">Can placing </w:t>
            </w:r>
            <w:r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small objects on railroad tracks, such as pennies or rocks, hurt anyone?</w:t>
            </w:r>
          </w:p>
        </w:tc>
        <w:tc>
          <w:tcPr>
            <w:tcW w:w="810" w:type="dxa"/>
          </w:tcPr>
          <w:p w14:paraId="39BF8005" w14:textId="77777777" w:rsidR="00A241CF" w:rsidRDefault="00A241CF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dxa"/>
          </w:tcPr>
          <w:p w14:paraId="029F208E" w14:textId="40F644A0" w:rsidR="00A241CF" w:rsidRDefault="00A241CF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241CF" w14:paraId="7CDF1D5C" w14:textId="77777777" w:rsidTr="00A241C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6856C7B9" w14:textId="03C68CC4" w:rsidR="00A241CF" w:rsidRPr="00D86EDF" w:rsidRDefault="00DC72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Are trains</w:t>
            </w:r>
            <w:r w:rsidR="00392594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 xml:space="preserve"> wider than railroad tracks</w:t>
            </w:r>
            <w:r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14:paraId="6438E589" w14:textId="42B38112" w:rsidR="00A241CF" w:rsidRDefault="00A241CF">
            <w:pPr>
              <w:spacing w:befor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dxa"/>
          </w:tcPr>
          <w:p w14:paraId="75CAB718" w14:textId="77777777" w:rsidR="00A241CF" w:rsidRDefault="00A241CF">
            <w:pPr>
              <w:spacing w:befor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241CF" w14:paraId="1BB440F6" w14:textId="77777777" w:rsidTr="00A2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16764630" w14:textId="034F94EB" w:rsidR="00A241CF" w:rsidRPr="00D86EDF" w:rsidRDefault="00DC72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Is it</w:t>
            </w:r>
            <w:r w:rsidR="00392594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 xml:space="preserve"> okay to cross railroad tracks without a designated crossing if you don’t see a train</w:t>
            </w:r>
            <w:r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14:paraId="526F6B57" w14:textId="77777777" w:rsidR="00A241CF" w:rsidRDefault="00A241CF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dxa"/>
          </w:tcPr>
          <w:p w14:paraId="1775C286" w14:textId="7B6B6C4C" w:rsidR="00A241CF" w:rsidRDefault="00A241CF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241CF" w14:paraId="7411D351" w14:textId="77777777" w:rsidTr="00A241C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6D2CCC45" w14:textId="403E2D82" w:rsidR="00A241CF" w:rsidRPr="00D86EDF" w:rsidRDefault="00DC72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Do the w</w:t>
            </w:r>
            <w:r w:rsidR="00392594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hite x-shaped signs mark areas you can safely cross railroad tracks, after looking both ways and listening for trains</w:t>
            </w:r>
            <w:r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14:paraId="6AA56807" w14:textId="63269ADD" w:rsidR="00A241CF" w:rsidRDefault="00A241CF">
            <w:pPr>
              <w:spacing w:befor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dxa"/>
          </w:tcPr>
          <w:p w14:paraId="6694C336" w14:textId="77777777" w:rsidR="00A241CF" w:rsidRDefault="00A241CF">
            <w:pPr>
              <w:spacing w:befor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241CF" w14:paraId="7B034F7B" w14:textId="77777777" w:rsidTr="00A2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6AE4CF6C" w14:textId="427CEB89" w:rsidR="00A241CF" w:rsidRPr="00D86EDF" w:rsidRDefault="00DC72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Do f</w:t>
            </w:r>
            <w:r w:rsidR="00392594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lashing red lights mean a train is coming</w:t>
            </w:r>
            <w:r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14:paraId="66F64BF5" w14:textId="5B1008D8" w:rsidR="00A241CF" w:rsidRDefault="00A241CF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dxa"/>
          </w:tcPr>
          <w:p w14:paraId="11CCDB3C" w14:textId="77777777" w:rsidR="00A241CF" w:rsidRDefault="00A241CF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241CF" w14:paraId="486923A5" w14:textId="77777777" w:rsidTr="00A241C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490D14D9" w14:textId="3469E968" w:rsidR="00A241CF" w:rsidRPr="00D86EDF" w:rsidRDefault="006101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Do</w:t>
            </w:r>
            <w:r w:rsidR="00DC7290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 xml:space="preserve"> </w:t>
            </w:r>
            <w:r w:rsidR="00392594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you plan to look both ways before crossing railroad tracks</w:t>
            </w:r>
            <w:r w:rsidR="00DC7290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14:paraId="15E5A9B8" w14:textId="11302A47" w:rsidR="00A241CF" w:rsidRDefault="00A241CF">
            <w:pPr>
              <w:spacing w:befor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dxa"/>
          </w:tcPr>
          <w:p w14:paraId="26ACA600" w14:textId="77777777" w:rsidR="00A241CF" w:rsidRDefault="00A241CF">
            <w:pPr>
              <w:spacing w:befor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241CF" w14:paraId="28663990" w14:textId="77777777" w:rsidTr="00A2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04893C06" w14:textId="53955D45" w:rsidR="00A241CF" w:rsidRPr="00D86EDF" w:rsidRDefault="006101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Do</w:t>
            </w:r>
            <w:r w:rsidR="00DC7290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 xml:space="preserve"> </w:t>
            </w:r>
            <w:r w:rsidR="00392594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you think railroad tracks are a good shortcut to get where you are going</w:t>
            </w:r>
            <w:r w:rsidR="00DC7290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14:paraId="1FD065CF" w14:textId="7FD2972B" w:rsidR="00A241CF" w:rsidRDefault="00A241CF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dxa"/>
          </w:tcPr>
          <w:p w14:paraId="18DE6F72" w14:textId="77777777" w:rsidR="00A241CF" w:rsidRDefault="00A241CF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241CF" w14:paraId="4039D5D5" w14:textId="77777777" w:rsidTr="00A241C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74BB1849" w14:textId="2348ADCC" w:rsidR="00A241CF" w:rsidRPr="00D86EDF" w:rsidRDefault="006101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Do</w:t>
            </w:r>
            <w:r w:rsidR="00A45BEB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 xml:space="preserve"> </w:t>
            </w:r>
            <w:r w:rsidR="00392594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you understand why it</w:t>
            </w:r>
            <w:r w:rsidR="00A45BEB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 xml:space="preserve"> is</w:t>
            </w:r>
            <w:r w:rsidR="00392594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 xml:space="preserve"> not safe to play or walk on train tracks</w:t>
            </w:r>
            <w:r w:rsidR="00A45BEB" w:rsidRPr="00D86EDF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14:paraId="489F9398" w14:textId="4CFE415C" w:rsidR="00A241CF" w:rsidRDefault="00A241CF">
            <w:pPr>
              <w:spacing w:befor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dxa"/>
          </w:tcPr>
          <w:p w14:paraId="2CEDF76D" w14:textId="77777777" w:rsidR="00A241CF" w:rsidRDefault="00A241CF">
            <w:pPr>
              <w:spacing w:befor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94E8EE1" w14:textId="77777777" w:rsidR="00A241CF" w:rsidRDefault="00A241CF">
      <w:pPr>
        <w:spacing w:before="200" w:after="0" w:line="240" w:lineRule="auto"/>
        <w:rPr>
          <w:b/>
          <w:sz w:val="20"/>
          <w:szCs w:val="20"/>
        </w:rPr>
      </w:pPr>
      <w:bookmarkStart w:id="3" w:name="_3znysh7" w:colFirst="0" w:colLast="0"/>
      <w:bookmarkEnd w:id="3"/>
    </w:p>
    <w:sectPr w:rsidR="00A241CF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A91BD" w14:textId="77777777" w:rsidR="00A54F6C" w:rsidRDefault="00A54F6C">
      <w:pPr>
        <w:spacing w:after="0" w:line="240" w:lineRule="auto"/>
      </w:pPr>
      <w:r>
        <w:separator/>
      </w:r>
    </w:p>
  </w:endnote>
  <w:endnote w:type="continuationSeparator" w:id="0">
    <w:p w14:paraId="59C823DB" w14:textId="77777777" w:rsidR="00A54F6C" w:rsidRDefault="00A5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B2AAD" w14:textId="5C0A7BE9" w:rsidR="00A241CF" w:rsidRDefault="00D86EDF">
    <w:pPr>
      <w:pBdr>
        <w:top w:val="nil"/>
        <w:left w:val="nil"/>
        <w:bottom w:val="nil"/>
        <w:right w:val="nil"/>
        <w:between w:val="nil"/>
      </w:pBdr>
      <w:tabs>
        <w:tab w:val="right" w:pos="1053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514F534C" wp14:editId="5ECFEFF7">
              <wp:simplePos x="0" y="0"/>
              <wp:positionH relativeFrom="column">
                <wp:posOffset>850900</wp:posOffset>
              </wp:positionH>
              <wp:positionV relativeFrom="paragraph">
                <wp:posOffset>56515</wp:posOffset>
              </wp:positionV>
              <wp:extent cx="4953000" cy="546735"/>
              <wp:effectExtent l="0" t="0" r="0" b="0"/>
              <wp:wrapSquare wrapText="bothSides" distT="45720" distB="4572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E60DCB" w14:textId="77777777" w:rsidR="00D86EDF" w:rsidRPr="00D86EDF" w:rsidRDefault="00D86EDF" w:rsidP="00D86EDF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D86EDF">
                            <w:rPr>
                              <w:rFonts w:ascii="Century Gothic" w:hAnsi="Century Gothic"/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The Alameda County Safe Routes to Schools Program is a program of the Alameda County Transportation Commission (alamedactc.org) and is funded with Alameda County’s local sales tax Measure B, regional, state and federal funds.</w:t>
                          </w:r>
                        </w:p>
                        <w:p w14:paraId="35E2ED34" w14:textId="11ACF2AA" w:rsidR="00A241CF" w:rsidRDefault="00A241C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4F534C" id="Rectangle 1" o:spid="_x0000_s1026" style="position:absolute;margin-left:67pt;margin-top:4.45pt;width:390pt;height:43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L3xAEAAHQDAAAOAAAAZHJzL2Uyb0RvYy54bWysU8tu2zAQvBfoPxC815IdK2kEy0GQwEWB&#10;oDWa9gPWFGkR4Cskbcl/3yWlOG57K3Kh9+XdmdnV6m7Qihy5D9Kahs5nJSXcMNtKs2/or5+bT58p&#10;CRFMC8oa3tATD/Ru/fHDqnc1X9jOqpZ7gk1MqHvX0C5GVxdFYB3XEGbWcYNJYb2GiK7fF62HHrtr&#10;VSzK8rrorW+dt4yHgNHHMUnXub8QnMXvQgQeiWooYov59fndpbdYr6Dee3CdZBMM+A8UGqTBoedW&#10;jxCBHLz8p5WWzNtgRZwxqwsrhGQ8c0A28/IvNs8dOJ65oDjBnWUK79eWfTtuPZEt7o4SAxpX9ANF&#10;A7NXnMyTPL0LNVY9u62fvIBm4joIr9MvsiBDlvR0lpQPkTAMLm+rq7JE5RnmquX1zVWVmhZv/3Y+&#10;xC/capKMhnqcnpWE41OIY+lrSRpm7EYqhXGolfkjgD1TpEiAR4jJisNumHDvbHtCssGxjcRZTxDi&#10;FjyuG6n3eAINDS8H8JwS9dWgxrfz5aLCm8nOsrpJNPxlZneZAcM6i5cVKRnNh5jvbMR4f4hWyMwn&#10;oRqhTGBxtVmR6QzT7Vz6uertY1n/BgAA//8DAFBLAwQUAAYACAAAACEAK/dB494AAAANAQAADwAA&#10;AGRycy9kb3ducmV2LnhtbEyPzW7CMBCE75X6DtYi9VbstIAgxEFVfw49NnDo0cTbJMJeR7ED4e27&#10;nNrLaj+Ndnam2E3eiTMOsQukIZsrEEh1sB01Gg77j8c1iJgMWeMCoYYrRtiV93eFyW240Beeq9QI&#10;NqGYGw1tSn0uZaxb9CbOQ4/E2k8YvEmMQyPtYC5s7p18UmolvemIP7Smx9cW61M1eg09Oju6RaW+&#10;a/k+ULb63MvrUuuH2fS25fGyBZFwSn8XcOvA+aHkYMcwko3CMT8vuFDSsN6AYH2T3fjIy1KBLAv5&#10;v0X5CwAA//8DAFBLAQItABQABgAIAAAAIQC2gziS/gAAAOEBAAATAAAAAAAAAAAAAAAAAAAAAABb&#10;Q29udGVudF9UeXBlc10ueG1sUEsBAi0AFAAGAAgAAAAhADj9If/WAAAAlAEAAAsAAAAAAAAAAAAA&#10;AAAALwEAAF9yZWxzLy5yZWxzUEsBAi0AFAAGAAgAAAAhABmFkvfEAQAAdAMAAA4AAAAAAAAAAAAA&#10;AAAALgIAAGRycy9lMm9Eb2MueG1sUEsBAi0AFAAGAAgAAAAhACv3QePeAAAADQEAAA8AAAAAAAAA&#10;AAAAAAAAHgQAAGRycy9kb3ducmV2LnhtbFBLBQYAAAAABAAEAPMAAAApBQAAAAA=&#10;" filled="f" stroked="f">
              <v:textbox inset="2.53958mm,1.2694mm,2.53958mm,1.2694mm">
                <w:txbxContent>
                  <w:p w14:paraId="32E60DCB" w14:textId="77777777" w:rsidR="00D86EDF" w:rsidRPr="00D86EDF" w:rsidRDefault="00D86EDF" w:rsidP="00D86EDF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D86EDF">
                      <w:rPr>
                        <w:rFonts w:ascii="Century Gothic" w:hAnsi="Century Gothic"/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The Alameda County Safe Routes to Schools Program is a program of the Alameda County Transportation Commission (alamedactc.org) and is funded with Alameda County’s local sales tax Measure B, regional, state and federal funds.</w:t>
                    </w:r>
                  </w:p>
                  <w:p w14:paraId="35E2ED34" w14:textId="11ACF2AA" w:rsidR="00A241CF" w:rsidRDefault="00A241CF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2594">
      <w:rPr>
        <w:color w:val="000000"/>
      </w:rPr>
      <w:t xml:space="preserve"> </w:t>
    </w:r>
    <w:r w:rsidR="00392594">
      <w:rPr>
        <w:color w:val="000000"/>
      </w:rPr>
      <w:tab/>
    </w:r>
    <w:r w:rsidR="00392594">
      <w:rPr>
        <w:noProof/>
        <w:color w:val="000000"/>
      </w:rPr>
      <w:drawing>
        <wp:inline distT="0" distB="0" distL="0" distR="0" wp14:anchorId="63F9880C" wp14:editId="51D13AA7">
          <wp:extent cx="927849" cy="230163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849" cy="230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4" w:name="_2et92p0" w:colFirst="0" w:colLast="0"/>
    <w:bookmarkEnd w:id="4"/>
    <w:r w:rsidR="00392594">
      <w:rPr>
        <w:noProof/>
      </w:rPr>
      <w:drawing>
        <wp:anchor distT="0" distB="0" distL="114300" distR="114300" simplePos="0" relativeHeight="251659264" behindDoc="0" locked="0" layoutInCell="1" hidden="0" allowOverlap="1" wp14:anchorId="5EF6F38E" wp14:editId="42EA69A0">
          <wp:simplePos x="0" y="0"/>
          <wp:positionH relativeFrom="column">
            <wp:posOffset>228600</wp:posOffset>
          </wp:positionH>
          <wp:positionV relativeFrom="paragraph">
            <wp:posOffset>6985</wp:posOffset>
          </wp:positionV>
          <wp:extent cx="478155" cy="42545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155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DDB02" w14:textId="77777777" w:rsidR="00A54F6C" w:rsidRDefault="00A54F6C">
      <w:pPr>
        <w:spacing w:after="0" w:line="240" w:lineRule="auto"/>
      </w:pPr>
      <w:r>
        <w:separator/>
      </w:r>
    </w:p>
  </w:footnote>
  <w:footnote w:type="continuationSeparator" w:id="0">
    <w:p w14:paraId="473A3350" w14:textId="77777777" w:rsidR="00A54F6C" w:rsidRDefault="00A5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2568B"/>
    <w:multiLevelType w:val="multilevel"/>
    <w:tmpl w:val="C212E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CF"/>
    <w:rsid w:val="0002152E"/>
    <w:rsid w:val="00301042"/>
    <w:rsid w:val="00392594"/>
    <w:rsid w:val="004B6556"/>
    <w:rsid w:val="004F5357"/>
    <w:rsid w:val="006023C6"/>
    <w:rsid w:val="00610177"/>
    <w:rsid w:val="007E531C"/>
    <w:rsid w:val="00A241CF"/>
    <w:rsid w:val="00A45BEB"/>
    <w:rsid w:val="00A54F6C"/>
    <w:rsid w:val="00C05E17"/>
    <w:rsid w:val="00D86EDF"/>
    <w:rsid w:val="00DC7290"/>
    <w:rsid w:val="00DE6202"/>
    <w:rsid w:val="00E0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8DC6C"/>
  <w15:docId w15:val="{1AC6AA88-0C6C-4413-BC96-B55E4E21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00" w:after="0"/>
      <w:jc w:val="both"/>
      <w:outlineLvl w:val="1"/>
    </w:pPr>
    <w:rPr>
      <w:b/>
      <w:color w:val="F8701D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00" w:after="0"/>
      <w:jc w:val="both"/>
      <w:outlineLvl w:val="3"/>
    </w:pPr>
    <w:rPr>
      <w:rFonts w:ascii="Cambria" w:eastAsia="Cambria" w:hAnsi="Cambria" w:cs="Cambria"/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042"/>
  </w:style>
  <w:style w:type="paragraph" w:styleId="Footer">
    <w:name w:val="footer"/>
    <w:basedOn w:val="Normal"/>
    <w:link w:val="FooterChar"/>
    <w:uiPriority w:val="99"/>
    <w:unhideWhenUsed/>
    <w:rsid w:val="0030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042"/>
  </w:style>
  <w:style w:type="character" w:styleId="Hyperlink">
    <w:name w:val="Hyperlink"/>
    <w:basedOn w:val="DefaultParagraphFont"/>
    <w:uiPriority w:val="99"/>
    <w:unhideWhenUsed/>
    <w:rsid w:val="006023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Nqa677fwpW_NIozd2QEfdp93aIr4Evu/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Memmott</dc:creator>
  <cp:lastModifiedBy>Cristina Arias</cp:lastModifiedBy>
  <cp:revision>2</cp:revision>
  <dcterms:created xsi:type="dcterms:W3CDTF">2020-04-14T23:50:00Z</dcterms:created>
  <dcterms:modified xsi:type="dcterms:W3CDTF">2020-04-14T23:50:00Z</dcterms:modified>
</cp:coreProperties>
</file>